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B2EA" w14:textId="7C4A5708" w:rsidR="00354AEB" w:rsidRPr="008D6C63" w:rsidRDefault="00354AEB" w:rsidP="00061B7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53CE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DECRETO</w:t>
      </w:r>
      <w:r w:rsidR="00061B71" w:rsidRPr="00553CE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N° </w:t>
      </w:r>
      <w:r w:rsidR="00553CE4" w:rsidRPr="00553CE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067/</w:t>
      </w:r>
      <w:r w:rsidR="00061B71" w:rsidRPr="00553CE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2026. 15 DE SETEMBRO DE 2026</w:t>
      </w:r>
    </w:p>
    <w:p w14:paraId="48E9AA93" w14:textId="77777777" w:rsidR="008D6C63" w:rsidRDefault="008D6C63" w:rsidP="00061B71">
      <w:pPr>
        <w:spacing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741B513" w14:textId="77777777" w:rsidR="00354AEB" w:rsidRDefault="00061B71" w:rsidP="00061B71">
      <w:pPr>
        <w:spacing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CRIAÇÃO E A INSTITUIÇÃO DO COMITÊ TÉCNICO INTERSETORIAL DE GOVERNANÇA, ACOMPANHAMENTO E MONITORAMENTO DO PLANO DE EXPANSÃO DA EDUCAÇÃO INTEGRAL EM TEMPO INTEGRAL NO ÂMBITO DA REDE PÚBLICA DE ENSINO DE SAGRADA FAMÍLIA, E DÁ OUTRAS PROVIDÊNCIAS.</w:t>
      </w:r>
    </w:p>
    <w:p w14:paraId="3ECC746B" w14:textId="77777777" w:rsidR="008D6C63" w:rsidRPr="008D6C63" w:rsidRDefault="008D6C63" w:rsidP="00061B71">
      <w:pPr>
        <w:spacing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49AF088" w14:textId="77777777" w:rsidR="00061B71" w:rsidRPr="008D6C63" w:rsidRDefault="00061B71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PREFEITO MUNICIPAL DE SAGRADA FAMÍLIA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, no uso de suas atribuições legais, conferidas pela Lei Orgânica Municipal,</w:t>
      </w:r>
    </w:p>
    <w:p w14:paraId="070A6C13" w14:textId="77777777" w:rsidR="00061B71" w:rsidRPr="008D6C63" w:rsidRDefault="00061B71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disposto no Art. 212-A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da Constituição da República Federativa do Brasil;</w:t>
      </w:r>
    </w:p>
    <w:p w14:paraId="35E0C023" w14:textId="77777777" w:rsidR="00354AEB" w:rsidRPr="008D6C63" w:rsidRDefault="00061B71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s diretrizes pactuadas na Resolução da Comissão Intergovernamental de Financiamento para a Educação Básica de Qualidade (CIF) nº 23/2026;</w:t>
      </w:r>
    </w:p>
    <w:p w14:paraId="0A37D124" w14:textId="77777777" w:rsidR="00354AEB" w:rsidRPr="008D6C63" w:rsidRDefault="00061B71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necessidade de alinhar o planejamento local às Diretrizes Operacionais Nacionais de Qualidade e Equidade para a Educação Integral em Tempo Integral (Resolução CNE/CEB nº 7/2025);</w:t>
      </w:r>
    </w:p>
    <w:p w14:paraId="1A5EFE10" w14:textId="77777777" w:rsidR="00354AEB" w:rsidRPr="008D6C63" w:rsidRDefault="00061B71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s orientações contidas no Guia de Apoio Técnico ao Plano de Expansão da Educação Integral em Tempo Integral emitido pelo Ministério da Educação (MEC), que preconiza a criação de arranjos e instâncias integradas de acompanhamento para que a expansão ocorra de forma sustentável, qualitativa e com equidade;</w:t>
      </w:r>
    </w:p>
    <w:p w14:paraId="49457731" w14:textId="77777777" w:rsidR="00354AEB" w:rsidRPr="008D6C63" w:rsidRDefault="00354AEB" w:rsidP="008D6C6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DECRETA:</w:t>
      </w:r>
    </w:p>
    <w:p w14:paraId="08FA624E" w14:textId="77777777" w:rsidR="00354AEB" w:rsidRPr="008D6C63" w:rsidRDefault="00354AEB" w:rsidP="00061B7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CAPÍTULO I – DA INSTITUIÇÃO E NATUREZA</w:t>
      </w:r>
    </w:p>
    <w:p w14:paraId="0899F31A" w14:textId="77777777" w:rsidR="00354AEB" w:rsidRPr="008D6C63" w:rsidRDefault="00354AEB" w:rsidP="00061B7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Fica instituído o Comitê Técnico Intersetorial de Governança, Acompanhamento e Monitoramento do Plano de Expansão da Educação Integral em Tempo Integral da rede pública de ensino de </w:t>
      </w:r>
      <w:r w:rsidR="00061B71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Sagrada Família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50FD8BB" w14:textId="77777777" w:rsidR="00354AEB" w:rsidRPr="008D6C63" w:rsidRDefault="00354AEB" w:rsidP="00061B7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Art. 2º O Comitê possui natureza colegiada, consultiva, propositiva e fiscalizadora de caráter técnico, com o objetivo principal de garantir a integração das áreas de gestão para a sustentabilidade da política pública de jornada ampliada.</w:t>
      </w:r>
    </w:p>
    <w:p w14:paraId="1BFA3ED3" w14:textId="77777777" w:rsidR="00354AEB" w:rsidRPr="008D6C63" w:rsidRDefault="00354AEB" w:rsidP="00061B7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CAPÍTULO II – DA COMPOSIÇÃO</w:t>
      </w:r>
    </w:p>
    <w:p w14:paraId="6A48E3AA" w14:textId="77777777" w:rsidR="00354AEB" w:rsidRPr="008D6C63" w:rsidRDefault="00354AEB" w:rsidP="00061B7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Art. 3º O Comitê Técnico Intersetorial será composto por representantes (titular e suplente) das seguintes áreas da gestão educacional e órgãos de controle social:</w:t>
      </w:r>
      <w:r w:rsidR="0077598D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952E7BF" w14:textId="77777777" w:rsidR="00354AEB" w:rsidRPr="008D6C63" w:rsidRDefault="00354AEB" w:rsidP="00061B71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Representantes da Secretaria Municipal de Educação:</w:t>
      </w:r>
    </w:p>
    <w:p w14:paraId="4C914EF2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da área Pedagógica / Gestão Curricular;</w:t>
      </w:r>
    </w:p>
    <w:p w14:paraId="7D8E7B78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da área de Planejamento e Estatística / Censo Escolar;</w:t>
      </w:r>
    </w:p>
    <w:p w14:paraId="5E239777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da área de Orçamento, Finanças e Contabilidade;</w:t>
      </w:r>
    </w:p>
    <w:p w14:paraId="1676873A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da área de Infraestrutura e Logística Escolar;</w:t>
      </w:r>
    </w:p>
    <w:p w14:paraId="5C2E6B20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do setor de Alimentação Escolar;</w:t>
      </w:r>
    </w:p>
    <w:p w14:paraId="7BD08728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do setor de Transporte Escolar;</w:t>
      </w:r>
    </w:p>
    <w:p w14:paraId="09DE1640" w14:textId="77777777" w:rsidR="00354AEB" w:rsidRPr="008D6C63" w:rsidRDefault="00354AEB" w:rsidP="00354AEB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do setor de Gestão de Pessoas / Recursos Humanos;</w:t>
      </w:r>
    </w:p>
    <w:p w14:paraId="28084D86" w14:textId="77777777" w:rsidR="00354AEB" w:rsidRPr="008D6C63" w:rsidRDefault="00354AEB" w:rsidP="00D35E89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representante do setor de Inclusão, Diversidade e Modalidades Especiais.</w:t>
      </w:r>
    </w:p>
    <w:p w14:paraId="6192D0F7" w14:textId="77777777" w:rsidR="00354AEB" w:rsidRPr="008D6C63" w:rsidRDefault="00354AEB" w:rsidP="008D6C6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Representantes de Instâncias de Participação e Controle Social:</w:t>
      </w:r>
    </w:p>
    <w:p w14:paraId="586771EA" w14:textId="77777777" w:rsidR="00354AEB" w:rsidRPr="008D6C63" w:rsidRDefault="00354AEB" w:rsidP="00354AEB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membro do Conselho Municipal de Educação;</w:t>
      </w:r>
    </w:p>
    <w:p w14:paraId="138A0437" w14:textId="77777777" w:rsidR="00354AEB" w:rsidRPr="008D6C63" w:rsidRDefault="00354AEB" w:rsidP="00354AEB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01 (um) membro do Conselho de Acompanhamento e Controle Social do Fundeb (CACS-Fundeb);</w:t>
      </w:r>
    </w:p>
    <w:p w14:paraId="30D05C2B" w14:textId="77777777" w:rsidR="00354AEB" w:rsidRPr="008D6C63" w:rsidRDefault="00354AEB" w:rsidP="00354AEB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01 (um) membro do Conselho de Alimentação Escolar (CAE).</w:t>
      </w:r>
    </w:p>
    <w:p w14:paraId="446C9B36" w14:textId="77777777" w:rsidR="00354AEB" w:rsidRPr="008D6C63" w:rsidRDefault="00354AEB" w:rsidP="008D6C6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Parágrafo único. Os membros que comporão o Comitê de que trata este artigo, bem como a definição de sua coordenação, serão indicados pelos respectivos órgãos e entidades e designados oficialmente por meio de Portaria.</w:t>
      </w:r>
    </w:p>
    <w:p w14:paraId="158B4C4C" w14:textId="77777777" w:rsidR="00290C78" w:rsidRPr="008D6C63" w:rsidRDefault="00354AEB" w:rsidP="008D6C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CAPÍTULO III – DAS COMPETÊNCIAS</w:t>
      </w:r>
    </w:p>
    <w:p w14:paraId="1BFAC5BF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Art. 4º Competirá ao Comitê Técnico Intersetorial:</w:t>
      </w:r>
    </w:p>
    <w:p w14:paraId="7E80E475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Subsidiar a elaboração, revisão e atualização periódica das metas, objetivos e ações do Plano de Expansão da rede;</w:t>
      </w:r>
    </w:p>
    <w:p w14:paraId="31C965EC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Articular de forma integrada as ações setoriais internas para garantir que a criação de vagas esteja condicionada à existência prévia de infraestrutura, alimentação, recursos humanos e transporte adequados;</w:t>
      </w:r>
    </w:p>
    <w:p w14:paraId="1657EDAC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Acompanhar e avaliar a aplicação do percentual mínimo dos 4% vinculados ao Fundeb e demais receitas educacionais destinadas à jornada ampliada;</w:t>
      </w:r>
    </w:p>
    <w:p w14:paraId="46459848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IV – Realizar análise desagregada de dados de acesso e permanência (gênero, raça/cor, deficiência, nível socioeconômico e território) de modo a mitigar as desigualdades na rede;</w:t>
      </w:r>
    </w:p>
    <w:p w14:paraId="76EFCFDB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V – Validar o monitoramento físico-financeiro das ações desenvolvidas por Organizações da Sociedade Civil (</w:t>
      </w:r>
      <w:proofErr w:type="spellStart"/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OSCs</w:t>
      </w:r>
      <w:proofErr w:type="spellEnd"/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) parceiras, quando houver;</w:t>
      </w:r>
    </w:p>
    <w:p w14:paraId="6905EC42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VI – Elaborar e submeter anualmente ao respectivo Conselho de Educação o Relatório de Monitoramento da Política de Educação Integral, em estrita observância ao artigo 11, inciso XI, das Diretrizes Nacionais Operacionais.</w:t>
      </w:r>
    </w:p>
    <w:p w14:paraId="234588CE" w14:textId="77777777" w:rsidR="008D6C63" w:rsidRPr="008D6C63" w:rsidRDefault="008D6C63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9DFEBC" w14:textId="77777777" w:rsidR="00290C78" w:rsidRPr="008D6C63" w:rsidRDefault="00354AEB" w:rsidP="008D6C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CAPÍTULO IV – DA ROTINA DE TRABALHO E CICLOS DE MONITORAMENTO</w:t>
      </w:r>
    </w:p>
    <w:p w14:paraId="7142391A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Art. 5º O Comitê organizará seus trabalhos seguindo a periodicidade recomendada pelo Guia de Apoio Técnico, estruturando-se em ciclos:</w:t>
      </w:r>
    </w:p>
    <w:p w14:paraId="14958D3D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Ciclo Bimestral: Reuniões técnicas ordinárias para atualização interna do andamento das ações operacionais, verificação de prazos, controle de gargalos imediatos e execução orçamentária no SIOPE;</w:t>
      </w:r>
    </w:p>
    <w:p w14:paraId="48581B20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Ciclo Semestral: Análise aprofundada dos indicadores estruturantes da expansão e pactuação de correções de rumo junto às áreas executoras;</w:t>
      </w:r>
    </w:p>
    <w:p w14:paraId="77157CC7" w14:textId="77777777" w:rsidR="00354AEB" w:rsidRPr="008D6C63" w:rsidRDefault="00354AEB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Ciclo Anual: Consolidação final dos resultados alcançados no Censo Escolar em contraposição às metas planejadas, gerando o Relatório Anual de Monitoramento.</w:t>
      </w:r>
    </w:p>
    <w:p w14:paraId="0E60DC8D" w14:textId="77777777" w:rsidR="008806FD" w:rsidRPr="008D6C63" w:rsidRDefault="008806FD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6º</w:t>
      </w: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Secretaria Municipal de Educação exercerá a função de Secretaria-Executiva do Comitê, prestando o suporte técnico, administrativo e logístico necessário ao seu pleno funcionamento e guarda de documentos.</w:t>
      </w:r>
    </w:p>
    <w:p w14:paraId="34F9C33F" w14:textId="77777777" w:rsidR="008D6C63" w:rsidRPr="008D6C63" w:rsidRDefault="008D6C63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CC4204D" w14:textId="77777777" w:rsidR="00354AEB" w:rsidRPr="008D6C63" w:rsidRDefault="00354AEB" w:rsidP="008D6C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CAPÍTULO V – DAS DISPOSIÇÕES FINAIS</w:t>
      </w:r>
    </w:p>
    <w:p w14:paraId="3B1810B3" w14:textId="77777777" w:rsidR="00354AEB" w:rsidRPr="008D6C63" w:rsidRDefault="008806FD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Art. 7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º A participação nas atividades do Comitê Técnico Intersetorial é considerada serviço público relevante e não será remunerada.</w:t>
      </w:r>
    </w:p>
    <w:p w14:paraId="25457E11" w14:textId="77777777" w:rsidR="00354AEB" w:rsidRPr="008D6C63" w:rsidRDefault="008806FD" w:rsidP="008D6C6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Art. 8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º Este Decreto entra em vigor na data de sua publicação.</w:t>
      </w:r>
    </w:p>
    <w:p w14:paraId="76022040" w14:textId="77777777" w:rsidR="00354AEB" w:rsidRPr="008D6C63" w:rsidRDefault="00354AEB" w:rsidP="00354A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9C1B6E" w14:textId="77777777" w:rsidR="00354AEB" w:rsidRPr="008D6C63" w:rsidRDefault="008339C7" w:rsidP="008D6C6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Sagrada Família, 15</w:t>
      </w:r>
      <w:r w:rsidR="00290C78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setembro </w:t>
      </w:r>
      <w:r w:rsidR="00354AEB" w:rsidRPr="008D6C63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2026.</w:t>
      </w:r>
    </w:p>
    <w:p w14:paraId="61D51F41" w14:textId="77777777" w:rsidR="00354AEB" w:rsidRPr="008D6C63" w:rsidRDefault="00354AEB" w:rsidP="00354AEB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81CE7B7" w14:textId="77777777" w:rsidR="00354AEB" w:rsidRPr="008D6C63" w:rsidRDefault="00354AEB" w:rsidP="00290C78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8D6C63">
        <w:rPr>
          <w:rFonts w:ascii="Times New Roman" w:hAnsi="Times New Roman" w:cs="Times New Roman"/>
          <w:b/>
          <w:sz w:val="24"/>
          <w:szCs w:val="24"/>
          <w:lang w:eastAsia="pt-BR"/>
        </w:rPr>
        <w:t>_______________________________________</w:t>
      </w:r>
    </w:p>
    <w:p w14:paraId="17F22EED" w14:textId="77777777" w:rsidR="00290C78" w:rsidRPr="008D6C63" w:rsidRDefault="00290C78" w:rsidP="00290C78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proofErr w:type="gramStart"/>
      <w:r w:rsidRPr="008D6C63">
        <w:rPr>
          <w:rFonts w:ascii="Times New Roman" w:hAnsi="Times New Roman" w:cs="Times New Roman"/>
          <w:b/>
          <w:sz w:val="24"/>
          <w:szCs w:val="24"/>
          <w:lang w:eastAsia="pt-BR"/>
        </w:rPr>
        <w:t>Mauro  Rogério</w:t>
      </w:r>
      <w:proofErr w:type="gramEnd"/>
      <w:r w:rsidRPr="008D6C63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Ferrari Galatto</w:t>
      </w:r>
    </w:p>
    <w:p w14:paraId="40FEEC99" w14:textId="77777777" w:rsidR="00354AEB" w:rsidRPr="008D6C63" w:rsidRDefault="00354AEB" w:rsidP="00290C78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8D6C63">
        <w:rPr>
          <w:rFonts w:ascii="Times New Roman" w:hAnsi="Times New Roman" w:cs="Times New Roman"/>
          <w:b/>
          <w:sz w:val="24"/>
          <w:szCs w:val="24"/>
          <w:lang w:eastAsia="pt-BR"/>
        </w:rPr>
        <w:t>Prefeito Municipal</w:t>
      </w:r>
    </w:p>
    <w:p w14:paraId="0EC793C2" w14:textId="77777777" w:rsidR="000E5F07" w:rsidRPr="008D6C63" w:rsidRDefault="000E5F07" w:rsidP="000E5F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sectPr w:rsidR="000E5F07" w:rsidRPr="008D6C63" w:rsidSect="00553CE4">
      <w:pgSz w:w="11906" w:h="16838"/>
      <w:pgMar w:top="2722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69D0"/>
    <w:multiLevelType w:val="hybridMultilevel"/>
    <w:tmpl w:val="DCB46A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32450"/>
    <w:multiLevelType w:val="hybridMultilevel"/>
    <w:tmpl w:val="7D8494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407D"/>
    <w:multiLevelType w:val="multilevel"/>
    <w:tmpl w:val="6062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0D13F0"/>
    <w:multiLevelType w:val="multilevel"/>
    <w:tmpl w:val="3194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97804"/>
    <w:multiLevelType w:val="hybridMultilevel"/>
    <w:tmpl w:val="302EB390"/>
    <w:lvl w:ilvl="0" w:tplc="CB02A89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A45D6"/>
    <w:multiLevelType w:val="multilevel"/>
    <w:tmpl w:val="EA5A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802982">
    <w:abstractNumId w:val="3"/>
  </w:num>
  <w:num w:numId="2" w16cid:durableId="874779605">
    <w:abstractNumId w:val="5"/>
  </w:num>
  <w:num w:numId="3" w16cid:durableId="83697261">
    <w:abstractNumId w:val="2"/>
  </w:num>
  <w:num w:numId="4" w16cid:durableId="654918494">
    <w:abstractNumId w:val="0"/>
  </w:num>
  <w:num w:numId="5" w16cid:durableId="1708992083">
    <w:abstractNumId w:val="4"/>
  </w:num>
  <w:num w:numId="6" w16cid:durableId="958221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07"/>
    <w:rsid w:val="00061B71"/>
    <w:rsid w:val="000E5F07"/>
    <w:rsid w:val="001830BE"/>
    <w:rsid w:val="001E0FF7"/>
    <w:rsid w:val="00290C78"/>
    <w:rsid w:val="00354AEB"/>
    <w:rsid w:val="004A1E11"/>
    <w:rsid w:val="004B5501"/>
    <w:rsid w:val="00553CE4"/>
    <w:rsid w:val="005D472D"/>
    <w:rsid w:val="0069498A"/>
    <w:rsid w:val="006D5ABC"/>
    <w:rsid w:val="00722C21"/>
    <w:rsid w:val="0077598D"/>
    <w:rsid w:val="007A44C5"/>
    <w:rsid w:val="007C6A55"/>
    <w:rsid w:val="008339C7"/>
    <w:rsid w:val="008806FD"/>
    <w:rsid w:val="008D6C63"/>
    <w:rsid w:val="00983FD1"/>
    <w:rsid w:val="009C0B07"/>
    <w:rsid w:val="00A07645"/>
    <w:rsid w:val="00B54BDC"/>
    <w:rsid w:val="00B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3F76"/>
  <w15:docId w15:val="{2718B2D9-58AD-4A13-82A9-C479A074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E5F07"/>
    <w:rPr>
      <w:b/>
      <w:bCs/>
    </w:rPr>
  </w:style>
  <w:style w:type="character" w:styleId="nfase">
    <w:name w:val="Emphasis"/>
    <w:basedOn w:val="Fontepargpadro"/>
    <w:uiPriority w:val="20"/>
    <w:qFormat/>
    <w:rsid w:val="000E5F07"/>
    <w:rPr>
      <w:i/>
      <w:iCs/>
    </w:rPr>
  </w:style>
  <w:style w:type="character" w:customStyle="1" w:styleId="inqyif">
    <w:name w:val="inqyif"/>
    <w:basedOn w:val="Fontepargpadro"/>
    <w:rsid w:val="000E5F07"/>
  </w:style>
  <w:style w:type="paragraph" w:styleId="PargrafodaLista">
    <w:name w:val="List Paragraph"/>
    <w:basedOn w:val="Normal"/>
    <w:uiPriority w:val="34"/>
    <w:qFormat/>
    <w:rsid w:val="000E5F07"/>
    <w:pPr>
      <w:ind w:left="720"/>
      <w:contextualSpacing/>
    </w:pPr>
  </w:style>
  <w:style w:type="paragraph" w:styleId="SemEspaamento">
    <w:name w:val="No Spacing"/>
    <w:uiPriority w:val="1"/>
    <w:qFormat/>
    <w:rsid w:val="00983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1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62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5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0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5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8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0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3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6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94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8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5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15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11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3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0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8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77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88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0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40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7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4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9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1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6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61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7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3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661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97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62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3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20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90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6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3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5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5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67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4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89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0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2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Sec.ADM Sandra</cp:lastModifiedBy>
  <cp:revision>2</cp:revision>
  <cp:lastPrinted>2026-09-15T13:45:00Z</cp:lastPrinted>
  <dcterms:created xsi:type="dcterms:W3CDTF">2026-09-15T13:47:00Z</dcterms:created>
  <dcterms:modified xsi:type="dcterms:W3CDTF">2026-09-15T13:47:00Z</dcterms:modified>
</cp:coreProperties>
</file>